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E3D" w:rsidRPr="007B5271" w:rsidRDefault="00D07AB0" w:rsidP="00791E3D">
      <w:pPr>
        <w:pStyle w:val="Subtitle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 xml:space="preserve">FORBIO </w:t>
      </w:r>
      <w:r w:rsidR="00521787">
        <w:rPr>
          <w:sz w:val="36"/>
          <w:szCs w:val="36"/>
        </w:rPr>
        <w:t>Project workshop</w:t>
      </w:r>
      <w:r w:rsidR="002A74B9">
        <w:rPr>
          <w:sz w:val="36"/>
          <w:szCs w:val="36"/>
        </w:rPr>
        <w:t xml:space="preserve"> </w:t>
      </w:r>
      <w:r w:rsidR="006D1D21">
        <w:rPr>
          <w:sz w:val="36"/>
          <w:szCs w:val="36"/>
        </w:rPr>
        <w:t>and study tour</w:t>
      </w:r>
    </w:p>
    <w:p w:rsidR="00791E3D" w:rsidRPr="00984191" w:rsidRDefault="00791E3D" w:rsidP="00791E3D">
      <w:pPr>
        <w:pStyle w:val="Title"/>
        <w:spacing w:after="0"/>
        <w:ind w:left="57"/>
        <w:rPr>
          <w:rFonts w:cstheme="majorHAnsi"/>
          <w:b w:val="0"/>
          <w:color w:val="000000" w:themeColor="text1"/>
          <w:sz w:val="28"/>
          <w:szCs w:val="28"/>
        </w:rPr>
      </w:pPr>
      <w:r>
        <w:rPr>
          <w:rFonts w:cstheme="majorHAnsi"/>
          <w:b w:val="0"/>
          <w:color w:val="000000" w:themeColor="text1"/>
          <w:sz w:val="28"/>
          <w:szCs w:val="28"/>
        </w:rPr>
        <w:t>September</w:t>
      </w:r>
      <w:r>
        <w:rPr>
          <w:rFonts w:cstheme="majorHAnsi"/>
          <w:b w:val="0"/>
          <w:sz w:val="28"/>
          <w:szCs w:val="28"/>
        </w:rPr>
        <w:t xml:space="preserve"> </w:t>
      </w:r>
      <w:r w:rsidR="006D1D21">
        <w:rPr>
          <w:rFonts w:cstheme="majorHAnsi"/>
          <w:b w:val="0"/>
          <w:sz w:val="28"/>
          <w:szCs w:val="28"/>
        </w:rPr>
        <w:t>20</w:t>
      </w:r>
      <w:r>
        <w:rPr>
          <w:rFonts w:cstheme="majorHAnsi"/>
          <w:b w:val="0"/>
          <w:sz w:val="28"/>
          <w:szCs w:val="28"/>
        </w:rPr>
        <w:t>-</w:t>
      </w:r>
      <w:r w:rsidR="00201EB3">
        <w:rPr>
          <w:rFonts w:cstheme="majorHAnsi"/>
          <w:b w:val="0"/>
          <w:sz w:val="28"/>
          <w:szCs w:val="28"/>
        </w:rPr>
        <w:t>21</w:t>
      </w:r>
      <w:r w:rsidRPr="00984191">
        <w:rPr>
          <w:rFonts w:cstheme="majorHAnsi"/>
          <w:b w:val="0"/>
          <w:color w:val="000000" w:themeColor="text1"/>
          <w:sz w:val="28"/>
          <w:szCs w:val="28"/>
        </w:rPr>
        <w:t xml:space="preserve">, 2016, </w:t>
      </w:r>
      <w:r>
        <w:rPr>
          <w:rFonts w:cstheme="majorHAnsi"/>
          <w:b w:val="0"/>
          <w:color w:val="000000" w:themeColor="text1"/>
          <w:sz w:val="28"/>
          <w:szCs w:val="28"/>
        </w:rPr>
        <w:t>Kyiv</w:t>
      </w:r>
      <w:r w:rsidRPr="00984191">
        <w:rPr>
          <w:rFonts w:cstheme="majorHAnsi"/>
          <w:b w:val="0"/>
          <w:color w:val="000000" w:themeColor="text1"/>
          <w:sz w:val="28"/>
          <w:szCs w:val="28"/>
        </w:rPr>
        <w:t xml:space="preserve"> – </w:t>
      </w:r>
      <w:r>
        <w:rPr>
          <w:rFonts w:cstheme="majorHAnsi"/>
          <w:b w:val="0"/>
          <w:color w:val="000000" w:themeColor="text1"/>
          <w:sz w:val="28"/>
          <w:szCs w:val="28"/>
        </w:rPr>
        <w:t>Ukraine</w:t>
      </w:r>
    </w:p>
    <w:p w:rsidR="00521787" w:rsidRDefault="00521787" w:rsidP="00521787">
      <w:pPr>
        <w:pStyle w:val="Title"/>
        <w:spacing w:after="0"/>
        <w:ind w:left="57"/>
        <w:rPr>
          <w:rFonts w:cstheme="majorHAnsi"/>
          <w:b w:val="0"/>
          <w:color w:val="000000" w:themeColor="text1"/>
          <w:sz w:val="24"/>
          <w:szCs w:val="24"/>
        </w:rPr>
      </w:pPr>
      <w:r w:rsidRPr="00521787">
        <w:rPr>
          <w:rFonts w:cstheme="majorHAnsi"/>
          <w:b w:val="0"/>
          <w:color w:val="000000" w:themeColor="text1"/>
          <w:sz w:val="24"/>
          <w:szCs w:val="24"/>
        </w:rPr>
        <w:t>Location: Kyiv, Ukraine, Volodymyrska str., 55</w:t>
      </w:r>
    </w:p>
    <w:p w:rsidR="00C745DA" w:rsidRPr="00521787" w:rsidRDefault="00C745DA" w:rsidP="00521787">
      <w:pPr>
        <w:pStyle w:val="Title"/>
        <w:spacing w:after="0"/>
        <w:ind w:left="57"/>
        <w:rPr>
          <w:rFonts w:cstheme="majorHAnsi"/>
          <w:b w:val="0"/>
          <w:color w:val="000000" w:themeColor="text1"/>
          <w:sz w:val="24"/>
          <w:szCs w:val="24"/>
        </w:rPr>
      </w:pPr>
      <w:r>
        <w:rPr>
          <w:rFonts w:cstheme="majorHAnsi"/>
          <w:b w:val="0"/>
          <w:color w:val="000000" w:themeColor="text1"/>
          <w:sz w:val="24"/>
          <w:szCs w:val="24"/>
        </w:rPr>
        <w:t>Simultaneous translation English-Ukrainian will be available</w:t>
      </w:r>
    </w:p>
    <w:p w:rsidR="00D07AB0" w:rsidRDefault="00D07AB0" w:rsidP="00791E3D">
      <w:pPr>
        <w:pStyle w:val="Title"/>
        <w:spacing w:after="0"/>
        <w:ind w:left="57"/>
        <w:rPr>
          <w:rFonts w:cstheme="majorHAnsi"/>
          <w:color w:val="000000" w:themeColor="text1"/>
          <w:sz w:val="28"/>
          <w:szCs w:val="28"/>
        </w:rPr>
      </w:pPr>
    </w:p>
    <w:p w:rsidR="00791E3D" w:rsidRDefault="00791E3D" w:rsidP="00791E3D">
      <w:pPr>
        <w:pStyle w:val="Title"/>
        <w:spacing w:after="0"/>
        <w:ind w:left="57"/>
        <w:rPr>
          <w:rFonts w:cstheme="majorHAnsi"/>
          <w:color w:val="000000" w:themeColor="text1"/>
          <w:sz w:val="28"/>
          <w:szCs w:val="28"/>
        </w:rPr>
      </w:pPr>
      <w:r w:rsidRPr="00462216">
        <w:rPr>
          <w:rFonts w:cstheme="majorHAnsi"/>
          <w:color w:val="000000" w:themeColor="text1"/>
          <w:sz w:val="28"/>
          <w:szCs w:val="28"/>
        </w:rPr>
        <w:t>Agenda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1129"/>
        <w:gridCol w:w="3941"/>
        <w:gridCol w:w="4819"/>
      </w:tblGrid>
      <w:tr w:rsidR="00521787" w:rsidRPr="00936B15" w:rsidTr="00413EDF">
        <w:tc>
          <w:tcPr>
            <w:tcW w:w="9889" w:type="dxa"/>
            <w:gridSpan w:val="3"/>
            <w:shd w:val="clear" w:color="auto" w:fill="B8CCE4" w:themeFill="accent1" w:themeFillTint="66"/>
          </w:tcPr>
          <w:p w:rsidR="00521787" w:rsidRPr="006D1D21" w:rsidRDefault="00521787" w:rsidP="006D1D21">
            <w:pPr>
              <w:ind w:right="-57"/>
              <w:jc w:val="center"/>
              <w:rPr>
                <w:b/>
                <w:lang w:val="en-GB"/>
              </w:rPr>
            </w:pPr>
            <w:r w:rsidRPr="00521787">
              <w:rPr>
                <w:b/>
                <w:lang w:val="en-GB"/>
              </w:rPr>
              <w:t xml:space="preserve">Tuesday, September </w:t>
            </w:r>
            <w:r w:rsidR="00964AB4">
              <w:rPr>
                <w:b/>
                <w:lang w:val="en-GB"/>
              </w:rPr>
              <w:t>19</w:t>
            </w:r>
            <w:r w:rsidRPr="00521787">
              <w:rPr>
                <w:b/>
                <w:lang w:val="en-GB"/>
              </w:rPr>
              <w:t>, 2017</w:t>
            </w:r>
          </w:p>
        </w:tc>
      </w:tr>
      <w:tr w:rsidR="00521787" w:rsidRPr="00936B15" w:rsidTr="00B9287B">
        <w:tc>
          <w:tcPr>
            <w:tcW w:w="1129" w:type="dxa"/>
            <w:shd w:val="clear" w:color="auto" w:fill="auto"/>
          </w:tcPr>
          <w:p w:rsidR="00521787" w:rsidRDefault="00521787" w:rsidP="00521787">
            <w:pPr>
              <w:ind w:right="-57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9.30-18.00</w:t>
            </w:r>
          </w:p>
        </w:tc>
        <w:tc>
          <w:tcPr>
            <w:tcW w:w="8760" w:type="dxa"/>
            <w:gridSpan w:val="2"/>
            <w:shd w:val="clear" w:color="auto" w:fill="auto"/>
          </w:tcPr>
          <w:p w:rsidR="00521787" w:rsidRDefault="00521787" w:rsidP="00521787">
            <w:pPr>
              <w:ind w:right="-57"/>
              <w:jc w:val="center"/>
            </w:pPr>
            <w:r>
              <w:t xml:space="preserve">International Conference “Biomass for Energy-2017” </w:t>
            </w:r>
          </w:p>
          <w:p w:rsidR="002A74B9" w:rsidRDefault="00183B40" w:rsidP="00521787">
            <w:pPr>
              <w:ind w:right="-57"/>
              <w:jc w:val="center"/>
            </w:pPr>
            <w:hyperlink r:id="rId8" w:history="1">
              <w:r w:rsidR="0038012B" w:rsidRPr="003A7117">
                <w:rPr>
                  <w:rStyle w:val="Hyperlink"/>
                </w:rPr>
                <w:t>www.uabioconf.org</w:t>
              </w:r>
            </w:hyperlink>
            <w:r w:rsidR="0038012B">
              <w:t xml:space="preserve"> </w:t>
            </w:r>
          </w:p>
        </w:tc>
      </w:tr>
      <w:tr w:rsidR="00521787" w:rsidRPr="00936B15" w:rsidTr="00521787">
        <w:tc>
          <w:tcPr>
            <w:tcW w:w="9889" w:type="dxa"/>
            <w:gridSpan w:val="3"/>
            <w:shd w:val="clear" w:color="auto" w:fill="D6E3BC" w:themeFill="accent3" w:themeFillTint="66"/>
          </w:tcPr>
          <w:p w:rsidR="00521787" w:rsidRDefault="00521787" w:rsidP="00521787">
            <w:pPr>
              <w:ind w:right="-57"/>
              <w:jc w:val="center"/>
              <w:rPr>
                <w:b/>
                <w:lang w:val="en-GB"/>
              </w:rPr>
            </w:pPr>
            <w:r w:rsidRPr="00521787">
              <w:rPr>
                <w:b/>
                <w:lang w:val="en-GB"/>
              </w:rPr>
              <w:t>Wednesday, September 2</w:t>
            </w:r>
            <w:r w:rsidR="00964AB4">
              <w:rPr>
                <w:b/>
                <w:lang w:val="en-GB"/>
              </w:rPr>
              <w:t>0</w:t>
            </w:r>
            <w:r w:rsidRPr="00521787">
              <w:rPr>
                <w:b/>
                <w:lang w:val="en-GB"/>
              </w:rPr>
              <w:t>, 2017</w:t>
            </w:r>
          </w:p>
          <w:p w:rsidR="00521787" w:rsidRDefault="002A74B9" w:rsidP="00521787">
            <w:pPr>
              <w:ind w:right="-57"/>
              <w:jc w:val="center"/>
            </w:pPr>
            <w:r>
              <w:t xml:space="preserve">FORBIO workshop in a frame of Biomass for Energy Conference (parallel sesion) </w:t>
            </w:r>
          </w:p>
        </w:tc>
      </w:tr>
      <w:tr w:rsidR="00844E1D" w:rsidRPr="00936B15" w:rsidTr="00B9287B">
        <w:tc>
          <w:tcPr>
            <w:tcW w:w="1129" w:type="dxa"/>
          </w:tcPr>
          <w:p w:rsidR="00F70A9D" w:rsidRPr="00936B15" w:rsidRDefault="00F70A9D" w:rsidP="003B5FD7">
            <w:pPr>
              <w:jc w:val="center"/>
              <w:rPr>
                <w:b/>
                <w:lang w:val="en-GB"/>
              </w:rPr>
            </w:pPr>
            <w:r w:rsidRPr="00936B15">
              <w:rPr>
                <w:b/>
                <w:lang w:val="en-GB"/>
              </w:rPr>
              <w:t>Time</w:t>
            </w:r>
          </w:p>
        </w:tc>
        <w:tc>
          <w:tcPr>
            <w:tcW w:w="3941" w:type="dxa"/>
          </w:tcPr>
          <w:p w:rsidR="00F70A9D" w:rsidRPr="0038012B" w:rsidRDefault="00BB1FEE" w:rsidP="0038012B">
            <w:pPr>
              <w:jc w:val="center"/>
              <w:rPr>
                <w:lang w:val="en-GB"/>
              </w:rPr>
            </w:pPr>
            <w:r w:rsidRPr="0038012B">
              <w:rPr>
                <w:b/>
                <w:lang w:val="en-GB"/>
              </w:rPr>
              <w:t>Speaker</w:t>
            </w:r>
          </w:p>
        </w:tc>
        <w:tc>
          <w:tcPr>
            <w:tcW w:w="4819" w:type="dxa"/>
          </w:tcPr>
          <w:p w:rsidR="00F70A9D" w:rsidRPr="00936B15" w:rsidRDefault="00BB1FEE" w:rsidP="00AE2D09">
            <w:pPr>
              <w:ind w:right="-57"/>
              <w:jc w:val="center"/>
              <w:rPr>
                <w:b/>
                <w:lang w:val="en-GB"/>
              </w:rPr>
            </w:pPr>
            <w:r w:rsidRPr="00936B15">
              <w:rPr>
                <w:b/>
                <w:lang w:val="en-GB"/>
              </w:rPr>
              <w:t>Title of presentation</w:t>
            </w:r>
          </w:p>
        </w:tc>
      </w:tr>
      <w:tr w:rsidR="00D520F5" w:rsidRPr="00936B15" w:rsidTr="00B9287B">
        <w:tc>
          <w:tcPr>
            <w:tcW w:w="1129" w:type="dxa"/>
          </w:tcPr>
          <w:p w:rsidR="00D520F5" w:rsidRPr="00B9287B" w:rsidRDefault="003B68EA" w:rsidP="003B68EA">
            <w:pPr>
              <w:tabs>
                <w:tab w:val="left" w:pos="1055"/>
              </w:tabs>
              <w:ind w:left="-113" w:right="-108"/>
              <w:jc w:val="center"/>
              <w:rPr>
                <w:lang w:val="en-GB"/>
              </w:rPr>
            </w:pPr>
            <w:r>
              <w:rPr>
                <w:lang w:val="en-GB"/>
              </w:rPr>
              <w:t>9.30</w:t>
            </w:r>
          </w:p>
        </w:tc>
        <w:tc>
          <w:tcPr>
            <w:tcW w:w="8760" w:type="dxa"/>
            <w:gridSpan w:val="2"/>
          </w:tcPr>
          <w:p w:rsidR="00D520F5" w:rsidRPr="00936B15" w:rsidRDefault="00D520F5" w:rsidP="003B5FD7">
            <w:pPr>
              <w:ind w:right="-57"/>
              <w:rPr>
                <w:b/>
                <w:lang w:val="en-GB"/>
              </w:rPr>
            </w:pPr>
            <w:r w:rsidRPr="00D520F5">
              <w:rPr>
                <w:lang w:val="en-GB"/>
              </w:rPr>
              <w:t>Registration</w:t>
            </w:r>
          </w:p>
        </w:tc>
      </w:tr>
      <w:tr w:rsidR="00E61853" w:rsidRPr="00936B15" w:rsidTr="00B9287B">
        <w:tc>
          <w:tcPr>
            <w:tcW w:w="1129" w:type="dxa"/>
          </w:tcPr>
          <w:p w:rsidR="00E61853" w:rsidRPr="00B9287B" w:rsidRDefault="00D520F5" w:rsidP="003B68EA">
            <w:pPr>
              <w:tabs>
                <w:tab w:val="left" w:pos="913"/>
              </w:tabs>
              <w:ind w:left="-113" w:right="-108"/>
              <w:jc w:val="center"/>
              <w:rPr>
                <w:lang w:val="en-GB"/>
              </w:rPr>
            </w:pPr>
            <w:r w:rsidRPr="00B9287B">
              <w:rPr>
                <w:lang w:val="en-GB"/>
              </w:rPr>
              <w:t>10:00</w:t>
            </w:r>
          </w:p>
        </w:tc>
        <w:tc>
          <w:tcPr>
            <w:tcW w:w="3941" w:type="dxa"/>
          </w:tcPr>
          <w:p w:rsidR="00E61853" w:rsidRPr="00D520F5" w:rsidRDefault="00D520F5" w:rsidP="00D520F5">
            <w:pPr>
              <w:jc w:val="both"/>
              <w:rPr>
                <w:lang w:val="en-GB"/>
              </w:rPr>
            </w:pPr>
            <w:r w:rsidRPr="00D520F5">
              <w:rPr>
                <w:lang w:val="en-GB"/>
              </w:rPr>
              <w:t>Sergii Savchuk,</w:t>
            </w:r>
          </w:p>
          <w:p w:rsidR="00D520F5" w:rsidRPr="0038012B" w:rsidRDefault="00D520F5" w:rsidP="00D520F5">
            <w:pPr>
              <w:jc w:val="both"/>
              <w:rPr>
                <w:b/>
                <w:lang w:val="en-GB"/>
              </w:rPr>
            </w:pPr>
            <w:r w:rsidRPr="00D520F5">
              <w:rPr>
                <w:lang w:val="en-GB"/>
              </w:rPr>
              <w:t>Head of State Agency of Energy savings and Energy Efficiency of Ukraine</w:t>
            </w:r>
          </w:p>
        </w:tc>
        <w:tc>
          <w:tcPr>
            <w:tcW w:w="4819" w:type="dxa"/>
          </w:tcPr>
          <w:p w:rsidR="00E61853" w:rsidRPr="00D520F5" w:rsidRDefault="00D520F5" w:rsidP="003B5FD7">
            <w:pPr>
              <w:ind w:right="-57"/>
              <w:rPr>
                <w:lang w:val="en-GB"/>
              </w:rPr>
            </w:pPr>
            <w:r w:rsidRPr="00D520F5">
              <w:rPr>
                <w:lang w:val="en-GB"/>
              </w:rPr>
              <w:t xml:space="preserve">Plans of the Agency for second generation </w:t>
            </w:r>
            <w:r w:rsidR="00B9287B">
              <w:rPr>
                <w:lang w:val="en-GB"/>
              </w:rPr>
              <w:t>biofuels production stimulation</w:t>
            </w:r>
          </w:p>
        </w:tc>
      </w:tr>
      <w:tr w:rsidR="00D520F5" w:rsidRPr="00936B15" w:rsidTr="00B9287B">
        <w:trPr>
          <w:trHeight w:val="343"/>
        </w:trPr>
        <w:tc>
          <w:tcPr>
            <w:tcW w:w="1129" w:type="dxa"/>
          </w:tcPr>
          <w:p w:rsidR="00D520F5" w:rsidRDefault="00D520F5" w:rsidP="003B68EA">
            <w:pPr>
              <w:tabs>
                <w:tab w:val="left" w:pos="913"/>
              </w:tabs>
              <w:ind w:left="-113" w:right="-108"/>
              <w:jc w:val="center"/>
              <w:rPr>
                <w:lang w:val="en-GB"/>
              </w:rPr>
            </w:pPr>
            <w:r>
              <w:rPr>
                <w:lang w:val="en-GB"/>
              </w:rPr>
              <w:t>10:30</w:t>
            </w:r>
          </w:p>
        </w:tc>
        <w:tc>
          <w:tcPr>
            <w:tcW w:w="3941" w:type="dxa"/>
          </w:tcPr>
          <w:p w:rsidR="00D520F5" w:rsidRPr="00D520F5" w:rsidRDefault="00D520F5" w:rsidP="00D520F5">
            <w:pPr>
              <w:rPr>
                <w:lang w:val="en-GB"/>
              </w:rPr>
            </w:pPr>
            <w:r w:rsidRPr="00D520F5">
              <w:rPr>
                <w:lang w:val="en-GB"/>
              </w:rPr>
              <w:t>Georgii Geletukha, SEC Biomass, UABIO</w:t>
            </w:r>
          </w:p>
        </w:tc>
        <w:tc>
          <w:tcPr>
            <w:tcW w:w="4819" w:type="dxa"/>
          </w:tcPr>
          <w:p w:rsidR="00D520F5" w:rsidRPr="00D520F5" w:rsidRDefault="00D520F5" w:rsidP="003B5FD7">
            <w:pPr>
              <w:ind w:right="-57"/>
              <w:rPr>
                <w:lang w:val="en-GB"/>
              </w:rPr>
            </w:pPr>
            <w:r w:rsidRPr="00D520F5">
              <w:rPr>
                <w:lang w:val="en-GB"/>
              </w:rPr>
              <w:t>Bioenergy development in Ukraine</w:t>
            </w:r>
          </w:p>
        </w:tc>
      </w:tr>
      <w:tr w:rsidR="0048303E" w:rsidRPr="00936B15" w:rsidTr="003B68EA">
        <w:trPr>
          <w:trHeight w:val="315"/>
        </w:trPr>
        <w:tc>
          <w:tcPr>
            <w:tcW w:w="1129" w:type="dxa"/>
          </w:tcPr>
          <w:p w:rsidR="0048303E" w:rsidRPr="00936B15" w:rsidRDefault="00D520F5" w:rsidP="003B68EA">
            <w:pPr>
              <w:tabs>
                <w:tab w:val="left" w:pos="913"/>
              </w:tabs>
              <w:ind w:left="-113" w:right="-108"/>
              <w:jc w:val="center"/>
              <w:rPr>
                <w:lang w:val="en-GB"/>
              </w:rPr>
            </w:pPr>
            <w:r>
              <w:rPr>
                <w:lang w:val="en-GB"/>
              </w:rPr>
              <w:t>11</w:t>
            </w:r>
            <w:r w:rsidR="0048303E" w:rsidRPr="00936B15">
              <w:rPr>
                <w:lang w:val="en-GB"/>
              </w:rPr>
              <w:t>:00</w:t>
            </w:r>
          </w:p>
        </w:tc>
        <w:tc>
          <w:tcPr>
            <w:tcW w:w="3941" w:type="dxa"/>
          </w:tcPr>
          <w:p w:rsidR="0048303E" w:rsidRPr="00936B15" w:rsidRDefault="003B68EA" w:rsidP="0038012B">
            <w:pPr>
              <w:ind w:right="-57"/>
              <w:rPr>
                <w:lang w:val="en-GB"/>
              </w:rPr>
            </w:pPr>
            <w:r>
              <w:rPr>
                <w:lang w:val="en-GB"/>
              </w:rPr>
              <w:t xml:space="preserve">Rita </w:t>
            </w:r>
            <w:r w:rsidRPr="003B68EA">
              <w:rPr>
                <w:lang w:val="en-GB"/>
              </w:rPr>
              <w:t>Mergner</w:t>
            </w:r>
            <w:r w:rsidR="0038012B" w:rsidRPr="0038012B">
              <w:rPr>
                <w:lang w:val="en-GB"/>
              </w:rPr>
              <w:t>, WIP</w:t>
            </w:r>
          </w:p>
        </w:tc>
        <w:tc>
          <w:tcPr>
            <w:tcW w:w="4819" w:type="dxa"/>
          </w:tcPr>
          <w:p w:rsidR="0048303E" w:rsidRPr="00936B15" w:rsidRDefault="0038012B" w:rsidP="003B68EA">
            <w:pPr>
              <w:ind w:right="-57"/>
              <w:rPr>
                <w:lang w:val="en-GB"/>
              </w:rPr>
            </w:pPr>
            <w:r>
              <w:rPr>
                <w:lang w:val="en-GB"/>
              </w:rPr>
              <w:t>FOBIO Project. Introduction, goal and scope</w:t>
            </w:r>
          </w:p>
        </w:tc>
      </w:tr>
      <w:tr w:rsidR="00DA7405" w:rsidRPr="00936B15" w:rsidTr="00B9287B">
        <w:tc>
          <w:tcPr>
            <w:tcW w:w="1129" w:type="dxa"/>
          </w:tcPr>
          <w:p w:rsidR="00DA7405" w:rsidRDefault="00DA7405" w:rsidP="003B68EA">
            <w:pPr>
              <w:tabs>
                <w:tab w:val="left" w:pos="913"/>
              </w:tabs>
              <w:ind w:left="-113" w:right="-108"/>
              <w:jc w:val="center"/>
              <w:rPr>
                <w:lang w:val="en-GB"/>
              </w:rPr>
            </w:pPr>
            <w:r>
              <w:rPr>
                <w:lang w:val="en-GB"/>
              </w:rPr>
              <w:t>11:</w:t>
            </w:r>
            <w:r w:rsidR="00D520F5">
              <w:rPr>
                <w:lang w:val="en-GB"/>
              </w:rPr>
              <w:t>30</w:t>
            </w:r>
            <w:r>
              <w:rPr>
                <w:lang w:val="en-GB"/>
              </w:rPr>
              <w:t xml:space="preserve"> </w:t>
            </w:r>
          </w:p>
        </w:tc>
        <w:tc>
          <w:tcPr>
            <w:tcW w:w="8760" w:type="dxa"/>
            <w:gridSpan w:val="2"/>
          </w:tcPr>
          <w:p w:rsidR="00DA7405" w:rsidRPr="00413EDF" w:rsidRDefault="00DA7405" w:rsidP="003B68EA">
            <w:pPr>
              <w:ind w:right="-57"/>
              <w:jc w:val="center"/>
              <w:rPr>
                <w:b/>
                <w:lang w:val="en-GB"/>
              </w:rPr>
            </w:pPr>
            <w:r w:rsidRPr="00413EDF">
              <w:rPr>
                <w:b/>
                <w:i/>
                <w:lang w:val="en-GB"/>
              </w:rPr>
              <w:t>Coffee break</w:t>
            </w:r>
          </w:p>
        </w:tc>
      </w:tr>
      <w:tr w:rsidR="00B9287B" w:rsidRPr="00936B15" w:rsidTr="00B9287B">
        <w:tc>
          <w:tcPr>
            <w:tcW w:w="1129" w:type="dxa"/>
          </w:tcPr>
          <w:p w:rsidR="00B9287B" w:rsidRDefault="00B9287B" w:rsidP="003B68EA">
            <w:pPr>
              <w:ind w:left="-113" w:right="-108"/>
              <w:jc w:val="center"/>
              <w:rPr>
                <w:lang w:val="en-GB"/>
              </w:rPr>
            </w:pPr>
            <w:r>
              <w:rPr>
                <w:lang w:val="en-GB"/>
              </w:rPr>
              <w:t>12:00</w:t>
            </w:r>
          </w:p>
        </w:tc>
        <w:tc>
          <w:tcPr>
            <w:tcW w:w="3941" w:type="dxa"/>
          </w:tcPr>
          <w:p w:rsidR="00B9287B" w:rsidRPr="0038012B" w:rsidRDefault="00B9287B" w:rsidP="00B9287B">
            <w:pPr>
              <w:ind w:right="-57"/>
              <w:rPr>
                <w:lang w:val="en-GB"/>
              </w:rPr>
            </w:pPr>
            <w:r w:rsidRPr="00DA7405">
              <w:rPr>
                <w:lang w:val="en-GB"/>
              </w:rPr>
              <w:t>Mariella Mulé, BIOCHEMTEX</w:t>
            </w:r>
          </w:p>
        </w:tc>
        <w:tc>
          <w:tcPr>
            <w:tcW w:w="4819" w:type="dxa"/>
          </w:tcPr>
          <w:p w:rsidR="00B9287B" w:rsidRPr="00201EB3" w:rsidRDefault="00B9287B" w:rsidP="00B9287B">
            <w:r>
              <w:t xml:space="preserve">Presentation of the Italian case study. Results of agronomic and techno-economic potential. </w:t>
            </w:r>
          </w:p>
        </w:tc>
      </w:tr>
      <w:tr w:rsidR="00B9287B" w:rsidRPr="00936B15" w:rsidTr="00B9287B">
        <w:tc>
          <w:tcPr>
            <w:tcW w:w="1129" w:type="dxa"/>
          </w:tcPr>
          <w:p w:rsidR="00B9287B" w:rsidRDefault="00B9287B" w:rsidP="003B68EA">
            <w:pPr>
              <w:ind w:left="-113" w:right="-108"/>
              <w:jc w:val="center"/>
              <w:rPr>
                <w:lang w:val="en-GB"/>
              </w:rPr>
            </w:pPr>
            <w:r>
              <w:rPr>
                <w:lang w:val="en-GB"/>
              </w:rPr>
              <w:t>12:20</w:t>
            </w:r>
          </w:p>
        </w:tc>
        <w:tc>
          <w:tcPr>
            <w:tcW w:w="3941" w:type="dxa"/>
          </w:tcPr>
          <w:p w:rsidR="00B9287B" w:rsidRPr="0038012B" w:rsidRDefault="003B68EA" w:rsidP="003B68EA">
            <w:pPr>
              <w:ind w:right="-57"/>
              <w:rPr>
                <w:lang w:val="en-GB"/>
              </w:rPr>
            </w:pPr>
            <w:r>
              <w:rPr>
                <w:lang w:val="en-GB"/>
              </w:rPr>
              <w:t xml:space="preserve">Rita </w:t>
            </w:r>
            <w:r w:rsidRPr="003B68EA">
              <w:rPr>
                <w:lang w:val="en-GB"/>
              </w:rPr>
              <w:t>Mergner</w:t>
            </w:r>
            <w:r>
              <w:rPr>
                <w:lang w:val="en-GB"/>
              </w:rPr>
              <w:t>, WIP</w:t>
            </w:r>
          </w:p>
        </w:tc>
        <w:tc>
          <w:tcPr>
            <w:tcW w:w="4819" w:type="dxa"/>
          </w:tcPr>
          <w:p w:rsidR="00B9287B" w:rsidRDefault="00B9287B" w:rsidP="00B9287B">
            <w:pPr>
              <w:ind w:right="-57"/>
              <w:rPr>
                <w:lang w:val="en-GB"/>
              </w:rPr>
            </w:pPr>
            <w:r>
              <w:t>Presentation of the German case study. Results of agronomic and techno-economic potential.</w:t>
            </w:r>
          </w:p>
        </w:tc>
      </w:tr>
      <w:tr w:rsidR="00B9287B" w:rsidRPr="00936B15" w:rsidTr="00B9287B">
        <w:tc>
          <w:tcPr>
            <w:tcW w:w="1129" w:type="dxa"/>
          </w:tcPr>
          <w:p w:rsidR="00B9287B" w:rsidRDefault="00B9287B" w:rsidP="003B68EA">
            <w:pPr>
              <w:ind w:left="-113" w:right="-108"/>
              <w:jc w:val="center"/>
              <w:rPr>
                <w:lang w:val="en-GB"/>
              </w:rPr>
            </w:pPr>
            <w:r>
              <w:rPr>
                <w:lang w:val="en-GB"/>
              </w:rPr>
              <w:t>12:40</w:t>
            </w:r>
          </w:p>
        </w:tc>
        <w:tc>
          <w:tcPr>
            <w:tcW w:w="3941" w:type="dxa"/>
          </w:tcPr>
          <w:p w:rsidR="00B9287B" w:rsidRPr="0038012B" w:rsidRDefault="003B68EA" w:rsidP="00B9287B">
            <w:pPr>
              <w:ind w:right="-57"/>
              <w:rPr>
                <w:lang w:val="en-GB"/>
              </w:rPr>
            </w:pPr>
            <w:r>
              <w:rPr>
                <w:lang w:val="en-GB"/>
              </w:rPr>
              <w:t xml:space="preserve">Oleksandra Tryboi, </w:t>
            </w:r>
            <w:r w:rsidR="00B9287B">
              <w:rPr>
                <w:lang w:val="en-GB"/>
              </w:rPr>
              <w:t>SEC Biomass</w:t>
            </w:r>
          </w:p>
        </w:tc>
        <w:tc>
          <w:tcPr>
            <w:tcW w:w="4819" w:type="dxa"/>
          </w:tcPr>
          <w:p w:rsidR="00B9287B" w:rsidRDefault="00B9287B" w:rsidP="00B9287B">
            <w:pPr>
              <w:ind w:right="-57"/>
              <w:rPr>
                <w:lang w:val="en-GB"/>
              </w:rPr>
            </w:pPr>
            <w:r>
              <w:t>Presentation of the Ukrainian case study. Results of agronomic and techno-economic potential.</w:t>
            </w:r>
          </w:p>
        </w:tc>
      </w:tr>
      <w:tr w:rsidR="00B9287B" w:rsidRPr="00936B15" w:rsidTr="003B68EA">
        <w:trPr>
          <w:trHeight w:val="323"/>
        </w:trPr>
        <w:tc>
          <w:tcPr>
            <w:tcW w:w="1129" w:type="dxa"/>
          </w:tcPr>
          <w:p w:rsidR="00B9287B" w:rsidRDefault="00B9287B" w:rsidP="003B68EA">
            <w:pPr>
              <w:ind w:left="-113" w:right="-108"/>
              <w:jc w:val="center"/>
              <w:rPr>
                <w:lang w:val="en-GB"/>
              </w:rPr>
            </w:pPr>
            <w:r>
              <w:rPr>
                <w:lang w:val="en-GB"/>
              </w:rPr>
              <w:t>13.00</w:t>
            </w:r>
          </w:p>
        </w:tc>
        <w:tc>
          <w:tcPr>
            <w:tcW w:w="8760" w:type="dxa"/>
            <w:gridSpan w:val="2"/>
          </w:tcPr>
          <w:p w:rsidR="00B9287B" w:rsidRPr="00413EDF" w:rsidRDefault="00B9287B" w:rsidP="003B68EA">
            <w:pPr>
              <w:ind w:right="-57"/>
              <w:jc w:val="center"/>
              <w:rPr>
                <w:b/>
                <w:lang w:val="en-GB"/>
              </w:rPr>
            </w:pPr>
            <w:r w:rsidRPr="00413EDF">
              <w:rPr>
                <w:b/>
                <w:i/>
                <w:lang w:val="en-GB"/>
              </w:rPr>
              <w:t>Lunch</w:t>
            </w:r>
          </w:p>
        </w:tc>
      </w:tr>
      <w:tr w:rsidR="00B9287B" w:rsidRPr="00936B15" w:rsidTr="00B9287B">
        <w:tc>
          <w:tcPr>
            <w:tcW w:w="1129" w:type="dxa"/>
          </w:tcPr>
          <w:p w:rsidR="00B9287B" w:rsidRDefault="00B9287B" w:rsidP="003B68EA">
            <w:pPr>
              <w:ind w:left="-113" w:right="-108"/>
              <w:jc w:val="center"/>
              <w:rPr>
                <w:lang w:val="en-GB"/>
              </w:rPr>
            </w:pPr>
            <w:r>
              <w:rPr>
                <w:lang w:val="en-GB"/>
              </w:rPr>
              <w:t>14:30</w:t>
            </w:r>
          </w:p>
        </w:tc>
        <w:tc>
          <w:tcPr>
            <w:tcW w:w="3941" w:type="dxa"/>
          </w:tcPr>
          <w:p w:rsidR="00B9287B" w:rsidRPr="00B9287B" w:rsidRDefault="00B9287B" w:rsidP="00B9287B">
            <w:pPr>
              <w:ind w:right="-57"/>
              <w:rPr>
                <w:lang w:val="en-GB"/>
              </w:rPr>
            </w:pPr>
            <w:r w:rsidRPr="00B9287B">
              <w:rPr>
                <w:lang w:val="en-GB"/>
              </w:rPr>
              <w:t>Marco Colangeli, FAO</w:t>
            </w:r>
          </w:p>
        </w:tc>
        <w:tc>
          <w:tcPr>
            <w:tcW w:w="4819" w:type="dxa"/>
          </w:tcPr>
          <w:p w:rsidR="00B9287B" w:rsidRDefault="00B9287B" w:rsidP="00B9287B">
            <w:pPr>
              <w:ind w:right="-57"/>
            </w:pPr>
            <w:r>
              <w:t>GBEP sustainability indicators.</w:t>
            </w:r>
          </w:p>
          <w:p w:rsidR="00B9287B" w:rsidRDefault="00B9287B" w:rsidP="00B9287B">
            <w:pPr>
              <w:ind w:right="-57"/>
              <w:rPr>
                <w:lang w:val="en-GB"/>
              </w:rPr>
            </w:pPr>
            <w:r w:rsidRPr="00DA7405">
              <w:t>Sustainability assessment of selected bioenergy pathways in the case study sites</w:t>
            </w:r>
          </w:p>
        </w:tc>
      </w:tr>
      <w:tr w:rsidR="00B9287B" w:rsidRPr="00936B15" w:rsidTr="00B9287B">
        <w:trPr>
          <w:trHeight w:val="652"/>
        </w:trPr>
        <w:tc>
          <w:tcPr>
            <w:tcW w:w="1129" w:type="dxa"/>
          </w:tcPr>
          <w:p w:rsidR="00B9287B" w:rsidRDefault="00B9287B" w:rsidP="003B68EA">
            <w:pPr>
              <w:ind w:left="-113" w:right="-108"/>
              <w:jc w:val="center"/>
              <w:rPr>
                <w:lang w:val="en-GB"/>
              </w:rPr>
            </w:pPr>
            <w:r>
              <w:rPr>
                <w:lang w:val="en-GB"/>
              </w:rPr>
              <w:t>15:00</w:t>
            </w:r>
          </w:p>
        </w:tc>
        <w:tc>
          <w:tcPr>
            <w:tcW w:w="3941" w:type="dxa"/>
          </w:tcPr>
          <w:p w:rsidR="00B9287B" w:rsidRPr="00B9287B" w:rsidRDefault="003B68EA" w:rsidP="00B9287B">
            <w:pPr>
              <w:ind w:right="-57"/>
              <w:rPr>
                <w:lang w:val="en-GB"/>
              </w:rPr>
            </w:pPr>
            <w:r>
              <w:rPr>
                <w:lang w:val="en-GB"/>
              </w:rPr>
              <w:t xml:space="preserve">Peter </w:t>
            </w:r>
            <w:r w:rsidRPr="003B68EA">
              <w:rPr>
                <w:lang w:val="en-GB"/>
              </w:rPr>
              <w:t>Gyuris</w:t>
            </w:r>
            <w:r w:rsidR="00B9287B" w:rsidRPr="00B9287B">
              <w:rPr>
                <w:lang w:val="en-GB"/>
              </w:rPr>
              <w:t>, GEO</w:t>
            </w:r>
          </w:p>
          <w:p w:rsidR="00B9287B" w:rsidRPr="00B9287B" w:rsidRDefault="00B9287B" w:rsidP="00B9287B">
            <w:pPr>
              <w:ind w:right="-57"/>
              <w:rPr>
                <w:lang w:val="en-GB"/>
              </w:rPr>
            </w:pPr>
            <w:r w:rsidRPr="00B9287B">
              <w:rPr>
                <w:lang w:val="en-GB"/>
              </w:rPr>
              <w:t>Tetiana Zheliezna, SEC Biomass</w:t>
            </w:r>
          </w:p>
        </w:tc>
        <w:tc>
          <w:tcPr>
            <w:tcW w:w="4819" w:type="dxa"/>
          </w:tcPr>
          <w:p w:rsidR="00B9287B" w:rsidRDefault="00B9287B" w:rsidP="00B9287B">
            <w:pPr>
              <w:ind w:right="-57"/>
              <w:rPr>
                <w:lang w:val="en-GB"/>
              </w:rPr>
            </w:pPr>
            <w:r w:rsidRPr="004F2AE6">
              <w:t>Identification and removal of barriers to the market uptake of bioenergy in the case study sites</w:t>
            </w:r>
          </w:p>
        </w:tc>
      </w:tr>
      <w:tr w:rsidR="00B9287B" w:rsidRPr="00936B15" w:rsidTr="00B9287B">
        <w:tc>
          <w:tcPr>
            <w:tcW w:w="1129" w:type="dxa"/>
          </w:tcPr>
          <w:p w:rsidR="00B9287B" w:rsidRDefault="00B9287B" w:rsidP="003B68EA">
            <w:pPr>
              <w:ind w:left="-113" w:right="-108"/>
              <w:jc w:val="center"/>
              <w:rPr>
                <w:lang w:val="en-GB"/>
              </w:rPr>
            </w:pPr>
            <w:r>
              <w:rPr>
                <w:lang w:val="en-GB"/>
              </w:rPr>
              <w:t>15:30</w:t>
            </w:r>
          </w:p>
        </w:tc>
        <w:tc>
          <w:tcPr>
            <w:tcW w:w="3941" w:type="dxa"/>
          </w:tcPr>
          <w:p w:rsidR="00B9287B" w:rsidRPr="00B9287B" w:rsidRDefault="00B9287B" w:rsidP="00B9287B">
            <w:pPr>
              <w:ind w:right="-57"/>
              <w:rPr>
                <w:lang w:val="en-GB"/>
              </w:rPr>
            </w:pPr>
            <w:r w:rsidRPr="00B9287B">
              <w:rPr>
                <w:lang w:val="en-GB"/>
              </w:rPr>
              <w:t>Oleksandr Ganzhenko, Institute of sugar beet and energy crops</w:t>
            </w:r>
          </w:p>
        </w:tc>
        <w:tc>
          <w:tcPr>
            <w:tcW w:w="4819" w:type="dxa"/>
          </w:tcPr>
          <w:p w:rsidR="00B9287B" w:rsidRDefault="00B9287B" w:rsidP="00B9287B">
            <w:pPr>
              <w:spacing w:after="240"/>
              <w:ind w:right="-57"/>
              <w:rPr>
                <w:lang w:val="en-GB"/>
              </w:rPr>
            </w:pPr>
            <w:r>
              <w:rPr>
                <w:lang w:val="en-GB"/>
              </w:rPr>
              <w:t>SEEMLA project</w:t>
            </w:r>
          </w:p>
        </w:tc>
      </w:tr>
      <w:tr w:rsidR="00B9287B" w:rsidRPr="00936B15" w:rsidTr="00B9287B">
        <w:tc>
          <w:tcPr>
            <w:tcW w:w="1129" w:type="dxa"/>
          </w:tcPr>
          <w:p w:rsidR="00B9287B" w:rsidRDefault="00B9287B" w:rsidP="003B68EA">
            <w:pPr>
              <w:ind w:left="-113" w:right="-108"/>
              <w:jc w:val="center"/>
              <w:rPr>
                <w:lang w:val="en-GB"/>
              </w:rPr>
            </w:pPr>
            <w:r>
              <w:rPr>
                <w:lang w:val="en-GB"/>
              </w:rPr>
              <w:t>16:00</w:t>
            </w:r>
          </w:p>
        </w:tc>
        <w:tc>
          <w:tcPr>
            <w:tcW w:w="3941" w:type="dxa"/>
          </w:tcPr>
          <w:p w:rsidR="00B9287B" w:rsidRPr="00B9287B" w:rsidRDefault="00B9287B" w:rsidP="00B9287B">
            <w:pPr>
              <w:ind w:right="-57"/>
              <w:rPr>
                <w:lang w:val="en-GB"/>
              </w:rPr>
            </w:pPr>
            <w:r w:rsidRPr="00B9287B">
              <w:rPr>
                <w:lang w:val="en-GB"/>
              </w:rPr>
              <w:t>Moderator:</w:t>
            </w:r>
          </w:p>
          <w:p w:rsidR="00B9287B" w:rsidRPr="00B9287B" w:rsidRDefault="00B9287B" w:rsidP="00B9287B">
            <w:pPr>
              <w:ind w:right="-57"/>
              <w:rPr>
                <w:lang w:val="en-GB"/>
              </w:rPr>
            </w:pPr>
            <w:r w:rsidRPr="00B9287B">
              <w:rPr>
                <w:lang w:val="en-GB"/>
              </w:rPr>
              <w:t>FAO</w:t>
            </w:r>
          </w:p>
        </w:tc>
        <w:tc>
          <w:tcPr>
            <w:tcW w:w="4819" w:type="dxa"/>
          </w:tcPr>
          <w:p w:rsidR="00B9287B" w:rsidRPr="00DA7405" w:rsidRDefault="00B9287B" w:rsidP="00B9287B">
            <w:pPr>
              <w:rPr>
                <w:b/>
              </w:rPr>
            </w:pPr>
            <w:r w:rsidRPr="008A75F6">
              <w:rPr>
                <w:b/>
              </w:rPr>
              <w:t>Panel discussion with local stakeholders on barriers and needs to the development of sustainable bioenergy value chains</w:t>
            </w:r>
          </w:p>
        </w:tc>
      </w:tr>
      <w:tr w:rsidR="00B9287B" w:rsidRPr="00936B15" w:rsidTr="00B9287B">
        <w:tc>
          <w:tcPr>
            <w:tcW w:w="1129" w:type="dxa"/>
          </w:tcPr>
          <w:p w:rsidR="00B9287B" w:rsidRPr="00936B15" w:rsidRDefault="00B9287B" w:rsidP="003B68EA">
            <w:pPr>
              <w:ind w:left="-113" w:right="-108"/>
              <w:jc w:val="center"/>
              <w:rPr>
                <w:lang w:val="en-GB"/>
              </w:rPr>
            </w:pPr>
            <w:r w:rsidRPr="00936B15">
              <w:rPr>
                <w:lang w:val="en-GB"/>
              </w:rPr>
              <w:t>1</w:t>
            </w:r>
            <w:r>
              <w:rPr>
                <w:lang w:val="en-GB"/>
              </w:rPr>
              <w:t>7:00</w:t>
            </w:r>
          </w:p>
        </w:tc>
        <w:tc>
          <w:tcPr>
            <w:tcW w:w="8760" w:type="dxa"/>
            <w:gridSpan w:val="2"/>
          </w:tcPr>
          <w:p w:rsidR="00B9287B" w:rsidRPr="00B9287B" w:rsidRDefault="00B9287B" w:rsidP="00B9287B">
            <w:pPr>
              <w:spacing w:after="120"/>
              <w:ind w:right="-57"/>
              <w:jc w:val="center"/>
              <w:rPr>
                <w:b/>
                <w:i/>
                <w:lang w:val="en-GB"/>
              </w:rPr>
            </w:pPr>
            <w:r w:rsidRPr="00413EDF">
              <w:rPr>
                <w:b/>
                <w:i/>
                <w:lang w:val="en-GB"/>
              </w:rPr>
              <w:t>Closure</w:t>
            </w:r>
          </w:p>
        </w:tc>
      </w:tr>
      <w:tr w:rsidR="00B9287B" w:rsidRPr="00936B15" w:rsidTr="00413EDF">
        <w:tc>
          <w:tcPr>
            <w:tcW w:w="9889" w:type="dxa"/>
            <w:gridSpan w:val="3"/>
            <w:shd w:val="clear" w:color="auto" w:fill="D6E3BC" w:themeFill="accent3" w:themeFillTint="66"/>
          </w:tcPr>
          <w:p w:rsidR="00B9287B" w:rsidRPr="003B68EA" w:rsidRDefault="00B9287B" w:rsidP="003B68EA">
            <w:pPr>
              <w:ind w:right="-57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Thursday</w:t>
            </w:r>
            <w:r w:rsidRPr="00521787">
              <w:rPr>
                <w:b/>
                <w:lang w:val="en-GB"/>
              </w:rPr>
              <w:t>, September 2</w:t>
            </w:r>
            <w:r>
              <w:rPr>
                <w:b/>
                <w:lang w:val="en-GB"/>
              </w:rPr>
              <w:t>1</w:t>
            </w:r>
            <w:r w:rsidRPr="00521787">
              <w:rPr>
                <w:b/>
                <w:lang w:val="en-GB"/>
              </w:rPr>
              <w:t>, 2017</w:t>
            </w:r>
          </w:p>
        </w:tc>
      </w:tr>
      <w:tr w:rsidR="00B9287B" w:rsidRPr="00DA7405" w:rsidTr="00B9287B">
        <w:tc>
          <w:tcPr>
            <w:tcW w:w="1129" w:type="dxa"/>
          </w:tcPr>
          <w:p w:rsidR="00B9287B" w:rsidRPr="00936B15" w:rsidRDefault="00B9287B" w:rsidP="003B68EA">
            <w:pPr>
              <w:ind w:left="-113" w:right="-108"/>
              <w:jc w:val="center"/>
              <w:rPr>
                <w:lang w:val="en-GB"/>
              </w:rPr>
            </w:pPr>
            <w:r>
              <w:rPr>
                <w:lang w:val="en-GB"/>
              </w:rPr>
              <w:t>10.00</w:t>
            </w:r>
          </w:p>
        </w:tc>
        <w:tc>
          <w:tcPr>
            <w:tcW w:w="3941" w:type="dxa"/>
            <w:shd w:val="clear" w:color="auto" w:fill="auto"/>
          </w:tcPr>
          <w:p w:rsidR="00B9287B" w:rsidRPr="00B9287B" w:rsidRDefault="00B9287B" w:rsidP="003B68EA">
            <w:pPr>
              <w:ind w:right="-57"/>
              <w:rPr>
                <w:lang w:val="en-GB"/>
              </w:rPr>
            </w:pPr>
            <w:r>
              <w:rPr>
                <w:lang w:val="en-GB"/>
              </w:rPr>
              <w:t>Salix Energy</w:t>
            </w:r>
            <w:r w:rsidR="003B68EA">
              <w:rPr>
                <w:lang w:val="en-GB"/>
              </w:rPr>
              <w:t xml:space="preserve"> LLC</w:t>
            </w:r>
          </w:p>
        </w:tc>
        <w:tc>
          <w:tcPr>
            <w:tcW w:w="4819" w:type="dxa"/>
          </w:tcPr>
          <w:p w:rsidR="00B9287B" w:rsidRDefault="00B9287B" w:rsidP="003B68EA">
            <w:pPr>
              <w:ind w:right="-57"/>
              <w:rPr>
                <w:lang w:val="en-GB"/>
              </w:rPr>
            </w:pPr>
            <w:r>
              <w:t>Presentations from local stakeholders</w:t>
            </w:r>
          </w:p>
        </w:tc>
      </w:tr>
      <w:tr w:rsidR="00B9287B" w:rsidRPr="00DA7405" w:rsidTr="00B9287B">
        <w:tc>
          <w:tcPr>
            <w:tcW w:w="1129" w:type="dxa"/>
          </w:tcPr>
          <w:p w:rsidR="00B9287B" w:rsidRPr="00936B15" w:rsidRDefault="00B9287B" w:rsidP="003B68EA">
            <w:pPr>
              <w:ind w:left="-113" w:right="-108"/>
              <w:jc w:val="center"/>
              <w:rPr>
                <w:lang w:val="en-GB"/>
              </w:rPr>
            </w:pPr>
            <w:r>
              <w:rPr>
                <w:lang w:val="en-GB"/>
              </w:rPr>
              <w:t>10.30</w:t>
            </w:r>
          </w:p>
        </w:tc>
        <w:tc>
          <w:tcPr>
            <w:tcW w:w="3941" w:type="dxa"/>
            <w:shd w:val="clear" w:color="auto" w:fill="auto"/>
          </w:tcPr>
          <w:p w:rsidR="00B9287B" w:rsidRPr="00B9287B" w:rsidRDefault="00B9287B" w:rsidP="003B68EA">
            <w:pPr>
              <w:ind w:right="-57"/>
              <w:rPr>
                <w:lang w:val="en-GB"/>
              </w:rPr>
            </w:pPr>
            <w:r w:rsidRPr="00B9287B">
              <w:rPr>
                <w:lang w:val="en-GB"/>
              </w:rPr>
              <w:t>UkrTeplo</w:t>
            </w:r>
            <w:r w:rsidR="003B68EA">
              <w:rPr>
                <w:lang w:val="en-GB"/>
              </w:rPr>
              <w:t xml:space="preserve"> LLC</w:t>
            </w:r>
          </w:p>
        </w:tc>
        <w:tc>
          <w:tcPr>
            <w:tcW w:w="4819" w:type="dxa"/>
          </w:tcPr>
          <w:p w:rsidR="00B9287B" w:rsidRDefault="00B9287B" w:rsidP="003B68EA">
            <w:pPr>
              <w:ind w:right="-57"/>
              <w:rPr>
                <w:lang w:val="en-GB"/>
              </w:rPr>
            </w:pPr>
            <w:r>
              <w:t>Presentations from local stakeholders</w:t>
            </w:r>
          </w:p>
        </w:tc>
      </w:tr>
      <w:tr w:rsidR="003E4CC1" w:rsidRPr="00DA7405" w:rsidTr="00B9287B">
        <w:tc>
          <w:tcPr>
            <w:tcW w:w="1129" w:type="dxa"/>
          </w:tcPr>
          <w:p w:rsidR="003E4CC1" w:rsidRDefault="003E4CC1" w:rsidP="003B68EA">
            <w:pPr>
              <w:ind w:left="-113" w:right="-108"/>
              <w:jc w:val="center"/>
              <w:rPr>
                <w:lang w:val="en-GB"/>
              </w:rPr>
            </w:pPr>
            <w:r>
              <w:rPr>
                <w:lang w:val="en-GB"/>
              </w:rPr>
              <w:t>11.00</w:t>
            </w:r>
          </w:p>
        </w:tc>
        <w:tc>
          <w:tcPr>
            <w:tcW w:w="3941" w:type="dxa"/>
            <w:shd w:val="clear" w:color="auto" w:fill="auto"/>
          </w:tcPr>
          <w:p w:rsidR="003E4CC1" w:rsidRPr="00B9287B" w:rsidRDefault="003B68EA" w:rsidP="003B68EA">
            <w:pPr>
              <w:ind w:right="-57"/>
              <w:rPr>
                <w:lang w:val="en-GB"/>
              </w:rPr>
            </w:pPr>
            <w:r>
              <w:rPr>
                <w:lang w:val="en-GB"/>
              </w:rPr>
              <w:t>I</w:t>
            </w:r>
            <w:r w:rsidR="003E4CC1">
              <w:rPr>
                <w:lang w:val="en-GB"/>
              </w:rPr>
              <w:t>nstitute of sugar beet</w:t>
            </w:r>
            <w:r>
              <w:rPr>
                <w:lang w:val="en-GB"/>
              </w:rPr>
              <w:t xml:space="preserve"> and energy crops</w:t>
            </w:r>
          </w:p>
        </w:tc>
        <w:tc>
          <w:tcPr>
            <w:tcW w:w="4819" w:type="dxa"/>
          </w:tcPr>
          <w:p w:rsidR="003E4CC1" w:rsidRDefault="003E4CC1" w:rsidP="003B68EA">
            <w:pPr>
              <w:ind w:right="-57"/>
            </w:pPr>
            <w:r>
              <w:t>Presentations from local stakeholders</w:t>
            </w:r>
          </w:p>
        </w:tc>
      </w:tr>
      <w:tr w:rsidR="00B9287B" w:rsidRPr="00DA7405" w:rsidTr="00B9287B">
        <w:trPr>
          <w:trHeight w:val="325"/>
        </w:trPr>
        <w:tc>
          <w:tcPr>
            <w:tcW w:w="1129" w:type="dxa"/>
          </w:tcPr>
          <w:p w:rsidR="00B9287B" w:rsidRPr="00936B15" w:rsidRDefault="00B9287B" w:rsidP="003B68EA">
            <w:pPr>
              <w:tabs>
                <w:tab w:val="left" w:pos="171"/>
              </w:tabs>
              <w:ind w:left="-113" w:right="-108"/>
              <w:jc w:val="center"/>
              <w:rPr>
                <w:lang w:val="en-GB"/>
              </w:rPr>
            </w:pPr>
            <w:r>
              <w:rPr>
                <w:lang w:val="en-GB"/>
              </w:rPr>
              <w:t>11.</w:t>
            </w:r>
            <w:r w:rsidR="003E4CC1">
              <w:rPr>
                <w:lang w:val="en-GB"/>
              </w:rPr>
              <w:t>30</w:t>
            </w:r>
          </w:p>
        </w:tc>
        <w:tc>
          <w:tcPr>
            <w:tcW w:w="8760" w:type="dxa"/>
            <w:gridSpan w:val="2"/>
            <w:shd w:val="clear" w:color="auto" w:fill="auto"/>
          </w:tcPr>
          <w:p w:rsidR="00B9287B" w:rsidRDefault="00B9287B" w:rsidP="003B68EA">
            <w:pPr>
              <w:ind w:right="-57"/>
              <w:rPr>
                <w:lang w:val="en-GB"/>
              </w:rPr>
            </w:pPr>
            <w:r w:rsidRPr="00B9287B">
              <w:rPr>
                <w:lang w:val="en-GB"/>
              </w:rPr>
              <w:t>Coffee</w:t>
            </w:r>
            <w:r>
              <w:rPr>
                <w:lang w:val="en-GB"/>
              </w:rPr>
              <w:t>-</w:t>
            </w:r>
            <w:r w:rsidRPr="00B9287B">
              <w:rPr>
                <w:lang w:val="en-GB"/>
              </w:rPr>
              <w:t>break</w:t>
            </w:r>
            <w:r>
              <w:rPr>
                <w:lang w:val="en-GB"/>
              </w:rPr>
              <w:t>/lunch</w:t>
            </w:r>
          </w:p>
        </w:tc>
      </w:tr>
      <w:tr w:rsidR="00B9287B" w:rsidRPr="00DA7405" w:rsidTr="00E749BC">
        <w:tc>
          <w:tcPr>
            <w:tcW w:w="1129" w:type="dxa"/>
          </w:tcPr>
          <w:p w:rsidR="00B9287B" w:rsidRDefault="00B9287B" w:rsidP="003B68EA">
            <w:pPr>
              <w:ind w:left="-113" w:right="-108"/>
              <w:jc w:val="center"/>
              <w:rPr>
                <w:lang w:val="en-GB"/>
              </w:rPr>
            </w:pPr>
            <w:r>
              <w:rPr>
                <w:lang w:val="en-GB"/>
              </w:rPr>
              <w:t>12.</w:t>
            </w:r>
            <w:r w:rsidR="003E4CC1">
              <w:rPr>
                <w:lang w:val="en-GB"/>
              </w:rPr>
              <w:t>30</w:t>
            </w:r>
          </w:p>
        </w:tc>
        <w:tc>
          <w:tcPr>
            <w:tcW w:w="8760" w:type="dxa"/>
            <w:gridSpan w:val="2"/>
            <w:shd w:val="clear" w:color="auto" w:fill="auto"/>
          </w:tcPr>
          <w:p w:rsidR="00B9287B" w:rsidRDefault="00B9287B" w:rsidP="003B68EA">
            <w:pPr>
              <w:ind w:right="-57"/>
            </w:pPr>
            <w:r w:rsidRPr="00F74016">
              <w:rPr>
                <w:rFonts w:cs="Arial"/>
              </w:rPr>
              <w:t xml:space="preserve">Field trip </w:t>
            </w:r>
            <w:r>
              <w:rPr>
                <w:rFonts w:cs="Arial"/>
              </w:rPr>
              <w:t xml:space="preserve">to </w:t>
            </w:r>
            <w:r w:rsidRPr="00F74016">
              <w:rPr>
                <w:rFonts w:cs="Arial"/>
              </w:rPr>
              <w:t>the study</w:t>
            </w:r>
            <w:r>
              <w:rPr>
                <w:rFonts w:cs="Arial"/>
              </w:rPr>
              <w:t xml:space="preserve"> area</w:t>
            </w:r>
          </w:p>
        </w:tc>
      </w:tr>
    </w:tbl>
    <w:p w:rsidR="0079189E" w:rsidRPr="007022F9" w:rsidRDefault="0079189E" w:rsidP="00C745DA">
      <w:pPr>
        <w:spacing w:after="0" w:line="240" w:lineRule="auto"/>
      </w:pPr>
    </w:p>
    <w:sectPr w:rsidR="0079189E" w:rsidRPr="007022F9" w:rsidSect="00201EB3">
      <w:headerReference w:type="default" r:id="rId9"/>
      <w:pgSz w:w="11906" w:h="16838"/>
      <w:pgMar w:top="1843" w:right="566" w:bottom="1134" w:left="1417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B40" w:rsidRDefault="00183B40" w:rsidP="008F13CC">
      <w:pPr>
        <w:spacing w:after="0" w:line="240" w:lineRule="auto"/>
      </w:pPr>
      <w:r>
        <w:separator/>
      </w:r>
    </w:p>
  </w:endnote>
  <w:endnote w:type="continuationSeparator" w:id="0">
    <w:p w:rsidR="00183B40" w:rsidRDefault="00183B40" w:rsidP="008F1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B40" w:rsidRDefault="00183B40" w:rsidP="008F13CC">
      <w:pPr>
        <w:spacing w:after="0" w:line="240" w:lineRule="auto"/>
      </w:pPr>
      <w:r>
        <w:separator/>
      </w:r>
    </w:p>
  </w:footnote>
  <w:footnote w:type="continuationSeparator" w:id="0">
    <w:p w:rsidR="00183B40" w:rsidRDefault="00183B40" w:rsidP="008F1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3CC" w:rsidRDefault="00791E3D" w:rsidP="00791E3D">
    <w:pPr>
      <w:pStyle w:val="Header"/>
      <w:jc w:val="center"/>
    </w:pPr>
    <w:r>
      <w:rPr>
        <w:noProof/>
        <w:lang w:val="hu-HU" w:eastAsia="hu-HU"/>
      </w:rPr>
      <w:drawing>
        <wp:inline distT="0" distB="0" distL="0" distR="0">
          <wp:extent cx="3545457" cy="1079426"/>
          <wp:effectExtent l="0" t="0" r="0" b="6985"/>
          <wp:docPr id="7" name="Рисунок 7" descr="D:\work\FORBIO\LOGOS-templates\forbio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work\FORBIO\LOGOS-templates\forbio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7153" cy="1086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A6942"/>
    <w:multiLevelType w:val="hybridMultilevel"/>
    <w:tmpl w:val="581E01D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A9D"/>
    <w:rsid w:val="00003D20"/>
    <w:rsid w:val="00005732"/>
    <w:rsid w:val="00026636"/>
    <w:rsid w:val="000742CA"/>
    <w:rsid w:val="00076B44"/>
    <w:rsid w:val="00092170"/>
    <w:rsid w:val="00094261"/>
    <w:rsid w:val="00096DA3"/>
    <w:rsid w:val="000A407C"/>
    <w:rsid w:val="000A4951"/>
    <w:rsid w:val="000A5A38"/>
    <w:rsid w:val="000D10C8"/>
    <w:rsid w:val="000E5458"/>
    <w:rsid w:val="00101B50"/>
    <w:rsid w:val="001347A7"/>
    <w:rsid w:val="00143246"/>
    <w:rsid w:val="001547D7"/>
    <w:rsid w:val="00174FFD"/>
    <w:rsid w:val="00177C31"/>
    <w:rsid w:val="00177DC8"/>
    <w:rsid w:val="00183B40"/>
    <w:rsid w:val="00185878"/>
    <w:rsid w:val="00185B46"/>
    <w:rsid w:val="00190BB5"/>
    <w:rsid w:val="001927DD"/>
    <w:rsid w:val="00196CAE"/>
    <w:rsid w:val="001A6A93"/>
    <w:rsid w:val="001D057D"/>
    <w:rsid w:val="00200244"/>
    <w:rsid w:val="00200BD2"/>
    <w:rsid w:val="00201EB3"/>
    <w:rsid w:val="002110F3"/>
    <w:rsid w:val="002143D3"/>
    <w:rsid w:val="00215749"/>
    <w:rsid w:val="002322ED"/>
    <w:rsid w:val="00235078"/>
    <w:rsid w:val="00245783"/>
    <w:rsid w:val="002459BD"/>
    <w:rsid w:val="00270AEB"/>
    <w:rsid w:val="002758AD"/>
    <w:rsid w:val="00296667"/>
    <w:rsid w:val="002A74B9"/>
    <w:rsid w:val="002B4DDA"/>
    <w:rsid w:val="002C737C"/>
    <w:rsid w:val="002D3158"/>
    <w:rsid w:val="002E0A0C"/>
    <w:rsid w:val="002F3ABE"/>
    <w:rsid w:val="0031573A"/>
    <w:rsid w:val="00320F58"/>
    <w:rsid w:val="0032230C"/>
    <w:rsid w:val="0035434C"/>
    <w:rsid w:val="00362904"/>
    <w:rsid w:val="00375BEA"/>
    <w:rsid w:val="0038012B"/>
    <w:rsid w:val="003848A5"/>
    <w:rsid w:val="00394A6B"/>
    <w:rsid w:val="003B5FD7"/>
    <w:rsid w:val="003B68EA"/>
    <w:rsid w:val="003C1B6E"/>
    <w:rsid w:val="003E26A1"/>
    <w:rsid w:val="003E4CC1"/>
    <w:rsid w:val="003E61A8"/>
    <w:rsid w:val="003F09EE"/>
    <w:rsid w:val="003F6510"/>
    <w:rsid w:val="0041036A"/>
    <w:rsid w:val="00411F43"/>
    <w:rsid w:val="00413EDF"/>
    <w:rsid w:val="004254A3"/>
    <w:rsid w:val="00435C77"/>
    <w:rsid w:val="004750F7"/>
    <w:rsid w:val="0048303E"/>
    <w:rsid w:val="004906EB"/>
    <w:rsid w:val="004A3D2F"/>
    <w:rsid w:val="004A7285"/>
    <w:rsid w:val="004B5BA5"/>
    <w:rsid w:val="004D1B71"/>
    <w:rsid w:val="004F460E"/>
    <w:rsid w:val="004F5EB4"/>
    <w:rsid w:val="0050365E"/>
    <w:rsid w:val="00521787"/>
    <w:rsid w:val="00544560"/>
    <w:rsid w:val="00557E61"/>
    <w:rsid w:val="005A11F8"/>
    <w:rsid w:val="005A1755"/>
    <w:rsid w:val="005E1A65"/>
    <w:rsid w:val="005E3AEE"/>
    <w:rsid w:val="005E7A57"/>
    <w:rsid w:val="005F3C9A"/>
    <w:rsid w:val="00624952"/>
    <w:rsid w:val="00634988"/>
    <w:rsid w:val="00661102"/>
    <w:rsid w:val="006700C8"/>
    <w:rsid w:val="006778EC"/>
    <w:rsid w:val="006C1638"/>
    <w:rsid w:val="006D1D21"/>
    <w:rsid w:val="006E3FDB"/>
    <w:rsid w:val="007022F9"/>
    <w:rsid w:val="00702BDA"/>
    <w:rsid w:val="00716E4A"/>
    <w:rsid w:val="00726B4F"/>
    <w:rsid w:val="00732BA5"/>
    <w:rsid w:val="007477EE"/>
    <w:rsid w:val="00772ABF"/>
    <w:rsid w:val="00783513"/>
    <w:rsid w:val="00786D5B"/>
    <w:rsid w:val="0079189E"/>
    <w:rsid w:val="00791E3D"/>
    <w:rsid w:val="007C4543"/>
    <w:rsid w:val="007C7D16"/>
    <w:rsid w:val="007D6C6F"/>
    <w:rsid w:val="007E0282"/>
    <w:rsid w:val="007E4C48"/>
    <w:rsid w:val="007F3CF8"/>
    <w:rsid w:val="007F74B9"/>
    <w:rsid w:val="00817DB3"/>
    <w:rsid w:val="00844E1D"/>
    <w:rsid w:val="00850098"/>
    <w:rsid w:val="00850B94"/>
    <w:rsid w:val="00862299"/>
    <w:rsid w:val="00883056"/>
    <w:rsid w:val="00886318"/>
    <w:rsid w:val="00895AC8"/>
    <w:rsid w:val="0089678B"/>
    <w:rsid w:val="008A5975"/>
    <w:rsid w:val="008A5D51"/>
    <w:rsid w:val="008C0BC6"/>
    <w:rsid w:val="008E1532"/>
    <w:rsid w:val="008E754F"/>
    <w:rsid w:val="008F13CC"/>
    <w:rsid w:val="008F1936"/>
    <w:rsid w:val="0092437C"/>
    <w:rsid w:val="00935E49"/>
    <w:rsid w:val="00936B15"/>
    <w:rsid w:val="00964AB4"/>
    <w:rsid w:val="00975BAF"/>
    <w:rsid w:val="00980487"/>
    <w:rsid w:val="009A58C3"/>
    <w:rsid w:val="009E2503"/>
    <w:rsid w:val="00A15E12"/>
    <w:rsid w:val="00A25164"/>
    <w:rsid w:val="00A275CA"/>
    <w:rsid w:val="00A542D3"/>
    <w:rsid w:val="00A56CD3"/>
    <w:rsid w:val="00A70F60"/>
    <w:rsid w:val="00AE2844"/>
    <w:rsid w:val="00AE2D09"/>
    <w:rsid w:val="00B05F90"/>
    <w:rsid w:val="00B12716"/>
    <w:rsid w:val="00B17558"/>
    <w:rsid w:val="00B409FE"/>
    <w:rsid w:val="00B64241"/>
    <w:rsid w:val="00B9287B"/>
    <w:rsid w:val="00BB13F9"/>
    <w:rsid w:val="00BB1FEE"/>
    <w:rsid w:val="00BB28BC"/>
    <w:rsid w:val="00BD3A50"/>
    <w:rsid w:val="00BE6861"/>
    <w:rsid w:val="00C134DF"/>
    <w:rsid w:val="00C2173B"/>
    <w:rsid w:val="00C66589"/>
    <w:rsid w:val="00C721C0"/>
    <w:rsid w:val="00C74176"/>
    <w:rsid w:val="00C745DA"/>
    <w:rsid w:val="00C75669"/>
    <w:rsid w:val="00C81FDC"/>
    <w:rsid w:val="00C924D5"/>
    <w:rsid w:val="00CA43E6"/>
    <w:rsid w:val="00CB549D"/>
    <w:rsid w:val="00CC3ACF"/>
    <w:rsid w:val="00D05472"/>
    <w:rsid w:val="00D07AB0"/>
    <w:rsid w:val="00D24B99"/>
    <w:rsid w:val="00D25455"/>
    <w:rsid w:val="00D27F90"/>
    <w:rsid w:val="00D333CB"/>
    <w:rsid w:val="00D43F6F"/>
    <w:rsid w:val="00D520F5"/>
    <w:rsid w:val="00D54327"/>
    <w:rsid w:val="00D62756"/>
    <w:rsid w:val="00D810AA"/>
    <w:rsid w:val="00D835EC"/>
    <w:rsid w:val="00D83E72"/>
    <w:rsid w:val="00DA638E"/>
    <w:rsid w:val="00DA7405"/>
    <w:rsid w:val="00DC6845"/>
    <w:rsid w:val="00DC7B94"/>
    <w:rsid w:val="00DD2002"/>
    <w:rsid w:val="00DE0069"/>
    <w:rsid w:val="00DE4323"/>
    <w:rsid w:val="00E0512A"/>
    <w:rsid w:val="00E14B76"/>
    <w:rsid w:val="00E61853"/>
    <w:rsid w:val="00E65ADB"/>
    <w:rsid w:val="00E71782"/>
    <w:rsid w:val="00E91ACC"/>
    <w:rsid w:val="00EA2A44"/>
    <w:rsid w:val="00ED7004"/>
    <w:rsid w:val="00EE4AFB"/>
    <w:rsid w:val="00F328CF"/>
    <w:rsid w:val="00F35FB8"/>
    <w:rsid w:val="00F3746B"/>
    <w:rsid w:val="00F4231F"/>
    <w:rsid w:val="00F6168F"/>
    <w:rsid w:val="00F70A9D"/>
    <w:rsid w:val="00F74906"/>
    <w:rsid w:val="00F814AF"/>
    <w:rsid w:val="00F83B39"/>
    <w:rsid w:val="00FB4F64"/>
    <w:rsid w:val="00FD0614"/>
    <w:rsid w:val="00FD3DD5"/>
    <w:rsid w:val="00FE3893"/>
    <w:rsid w:val="00FE57F9"/>
    <w:rsid w:val="00FF0A72"/>
    <w:rsid w:val="00FF189D"/>
    <w:rsid w:val="00FF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CBDC45-8C10-4CB8-BF64-79795BF8B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0A9D"/>
    <w:rPr>
      <w:rFonts w:eastAsiaTheme="minorEastAsia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0A9D"/>
    <w:pPr>
      <w:spacing w:after="0" w:line="240" w:lineRule="auto"/>
    </w:pPr>
    <w:rPr>
      <w:rFonts w:eastAsiaTheme="minorEastAsia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3CC"/>
    <w:rPr>
      <w:rFonts w:ascii="Tahoma" w:eastAsiaTheme="minorEastAsia" w:hAnsi="Tahoma" w:cs="Tahoma"/>
      <w:sz w:val="16"/>
      <w:szCs w:val="16"/>
      <w:lang w:eastAsia="nl-NL"/>
    </w:rPr>
  </w:style>
  <w:style w:type="paragraph" w:styleId="Header">
    <w:name w:val="header"/>
    <w:basedOn w:val="Normal"/>
    <w:link w:val="HeaderChar"/>
    <w:uiPriority w:val="99"/>
    <w:unhideWhenUsed/>
    <w:rsid w:val="008F1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3CC"/>
    <w:rPr>
      <w:rFonts w:eastAsiaTheme="minorEastAsia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8F1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3CC"/>
    <w:rPr>
      <w:rFonts w:eastAsiaTheme="minorEastAsia"/>
      <w:lang w:eastAsia="nl-NL"/>
    </w:rPr>
  </w:style>
  <w:style w:type="paragraph" w:styleId="NoSpacing">
    <w:name w:val="No Spacing"/>
    <w:uiPriority w:val="1"/>
    <w:qFormat/>
    <w:rsid w:val="006778EC"/>
    <w:pPr>
      <w:spacing w:after="0" w:line="240" w:lineRule="auto"/>
    </w:pPr>
    <w:rPr>
      <w:rFonts w:eastAsiaTheme="minorEastAsia"/>
      <w:lang w:eastAsia="nl-NL"/>
    </w:rPr>
  </w:style>
  <w:style w:type="character" w:styleId="Hyperlink">
    <w:name w:val="Hyperlink"/>
    <w:basedOn w:val="DefaultParagraphFont"/>
    <w:uiPriority w:val="99"/>
    <w:unhideWhenUsed/>
    <w:rsid w:val="00FF189D"/>
    <w:rPr>
      <w:color w:val="0000FF" w:themeColor="hyperlink"/>
      <w:u w:val="single"/>
    </w:rPr>
  </w:style>
  <w:style w:type="paragraph" w:styleId="Title">
    <w:name w:val="Title"/>
    <w:basedOn w:val="Normal"/>
    <w:link w:val="TitleChar"/>
    <w:qFormat/>
    <w:rsid w:val="00791E3D"/>
    <w:pPr>
      <w:spacing w:after="240"/>
      <w:ind w:left="58"/>
      <w:jc w:val="center"/>
    </w:pPr>
    <w:rPr>
      <w:rFonts w:asciiTheme="majorHAnsi" w:eastAsia="Times New Roman" w:hAnsiTheme="majorHAnsi" w:cs="Arial"/>
      <w:b/>
      <w:bCs/>
      <w:sz w:val="36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791E3D"/>
    <w:rPr>
      <w:rFonts w:asciiTheme="majorHAnsi" w:eastAsia="Times New Roman" w:hAnsiTheme="majorHAnsi" w:cs="Arial"/>
      <w:b/>
      <w:bCs/>
      <w:sz w:val="36"/>
      <w:szCs w:val="32"/>
      <w:lang w:val="en-US"/>
    </w:rPr>
  </w:style>
  <w:style w:type="paragraph" w:styleId="Subtitle">
    <w:name w:val="Subtitle"/>
    <w:basedOn w:val="Normal"/>
    <w:link w:val="SubtitleChar"/>
    <w:qFormat/>
    <w:rsid w:val="00791E3D"/>
    <w:pPr>
      <w:spacing w:before="240" w:after="240" w:line="240" w:lineRule="auto"/>
      <w:jc w:val="center"/>
    </w:pPr>
    <w:rPr>
      <w:rFonts w:ascii="Arial" w:eastAsia="Times New Roman" w:hAnsi="Arial" w:cs="Times New Roman"/>
      <w:b/>
      <w:bCs/>
      <w:i/>
      <w:iCs/>
      <w:sz w:val="32"/>
      <w:szCs w:val="24"/>
      <w:lang w:val="en-GB" w:eastAsia="de-DE"/>
    </w:rPr>
  </w:style>
  <w:style w:type="character" w:customStyle="1" w:styleId="SubtitleChar">
    <w:name w:val="Subtitle Char"/>
    <w:basedOn w:val="DefaultParagraphFont"/>
    <w:link w:val="Subtitle"/>
    <w:rsid w:val="00791E3D"/>
    <w:rPr>
      <w:rFonts w:ascii="Arial" w:eastAsia="Times New Roman" w:hAnsi="Arial" w:cs="Times New Roman"/>
      <w:b/>
      <w:bCs/>
      <w:i/>
      <w:iCs/>
      <w:sz w:val="32"/>
      <w:szCs w:val="24"/>
      <w:lang w:val="en-GB" w:eastAsia="de-DE"/>
    </w:rPr>
  </w:style>
  <w:style w:type="character" w:styleId="FollowedHyperlink">
    <w:name w:val="FollowedHyperlink"/>
    <w:basedOn w:val="DefaultParagraphFont"/>
    <w:uiPriority w:val="99"/>
    <w:semiHidden/>
    <w:unhideWhenUsed/>
    <w:rsid w:val="0038012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E57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5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6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62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6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95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30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abioconf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05C41-EC11-453B-BBB3-47FD8BC1F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1808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Ministerie van EZ</Company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Kwant, ir. K.W. (Kees)</dc:creator>
  <cp:lastModifiedBy>Attila Uderszky</cp:lastModifiedBy>
  <cp:revision>2</cp:revision>
  <cp:lastPrinted>2017-04-05T12:48:00Z</cp:lastPrinted>
  <dcterms:created xsi:type="dcterms:W3CDTF">2017-08-07T12:18:00Z</dcterms:created>
  <dcterms:modified xsi:type="dcterms:W3CDTF">2017-08-07T12:18:00Z</dcterms:modified>
</cp:coreProperties>
</file>